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見学後・比較表テンプレート（支援級）</w:t>
      </w:r>
    </w:p>
    <w:p>
      <w:r>
        <w:t>学校A：__________________   学校B：__________________   学校C：__________________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spacing w:after="80"/>
            </w:pPr>
            <w:r>
              <w:t>評価観点</w:t>
            </w:r>
          </w:p>
        </w:tc>
        <w:tc>
          <w:tcPr>
            <w:tcW w:type="dxa" w:w="2160"/>
          </w:tcPr>
          <w:p>
            <w:pPr>
              <w:spacing w:after="80"/>
            </w:pPr>
            <w:r>
              <w:t>学校A</w:t>
            </w:r>
          </w:p>
        </w:tc>
        <w:tc>
          <w:tcPr>
            <w:tcW w:type="dxa" w:w="2160"/>
          </w:tcPr>
          <w:p>
            <w:pPr>
              <w:spacing w:after="80"/>
            </w:pPr>
            <w:r>
              <w:t>学校B</w:t>
            </w:r>
          </w:p>
        </w:tc>
        <w:tc>
          <w:tcPr>
            <w:tcW w:type="dxa" w:w="2160"/>
          </w:tcPr>
          <w:p>
            <w:pPr>
              <w:spacing w:after="80"/>
            </w:pPr>
            <w:r>
              <w:t>学校C</w:t>
            </w:r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環境（音・光・座席・動線）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人（声かけ・表情・記録の丁寧さ）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仕組み（IEP運用・連絡体制・交流設計）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学習（個別/小集団の配分・宿題調整）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生活（休み時間の見守り・昼食/トイレの支援）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交流（通常級との機会・サポート）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安全（危機対応・いじめ初動）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感覚面（照明・音・匂い・触覚配慮）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家庭連携（週次の振り返り・連絡ツール）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  <w:tr>
        <w:tc>
          <w:tcPr>
            <w:tcW w:type="dxa" w:w="2160"/>
          </w:tcPr>
          <w:p>
            <w:pPr>
              <w:spacing w:after="80"/>
            </w:pPr>
            <w:r>
              <w:t>総合メモ／気づき</w:t>
            </w:r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  <w:tc>
          <w:tcPr>
            <w:tcW w:type="dxa" w:w="2160"/>
          </w:tcPr>
          <w:p>
            <w:pPr>
              <w:spacing w:after="80"/>
            </w:pPr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